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3B327" w14:textId="6BCDCCA1" w:rsidR="006D149B" w:rsidRDefault="00BB4611" w:rsidP="007D1ADB">
      <w:pPr>
        <w:pStyle w:val="Heading3"/>
        <w:spacing w:before="240" w:after="120"/>
      </w:pPr>
      <w:r w:rsidRPr="00BB4611">
        <w:t>Q</w:t>
      </w:r>
      <w:r w:rsidR="0022798A">
        <w:t>uiz</w:t>
      </w:r>
      <w:r w:rsidRPr="00BB4611">
        <w:t xml:space="preserve"> on coordination</w:t>
      </w:r>
    </w:p>
    <w:p w14:paraId="2A144574" w14:textId="6E23CBBF" w:rsidR="00BB4611" w:rsidRPr="00BB4611" w:rsidRDefault="00BB4611" w:rsidP="00BB4611">
      <w:pPr>
        <w:spacing w:after="120"/>
      </w:pPr>
      <w:r w:rsidRPr="00BB4611">
        <w:t>Are the fol</w:t>
      </w:r>
      <w:r w:rsidR="009D0066">
        <w:t>lowing statements TRUE or FALSE</w:t>
      </w:r>
      <w:r w:rsidR="006372D0">
        <w:t>?</w:t>
      </w:r>
    </w:p>
    <w:tbl>
      <w:tblPr>
        <w:tblStyle w:val="TableGrid"/>
        <w:tblW w:w="9606"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817"/>
        <w:gridCol w:w="6662"/>
        <w:gridCol w:w="1134"/>
        <w:gridCol w:w="993"/>
      </w:tblGrid>
      <w:tr w:rsidR="00BB4611" w:rsidRPr="00BB4611" w14:paraId="6CE3E336" w14:textId="77777777" w:rsidTr="00B105CF">
        <w:tc>
          <w:tcPr>
            <w:tcW w:w="817" w:type="dxa"/>
            <w:shd w:val="clear" w:color="auto" w:fill="E0FCB9" w:themeFill="accent1" w:themeFillTint="33"/>
          </w:tcPr>
          <w:p w14:paraId="192C598D" w14:textId="77777777" w:rsidR="00BB4611" w:rsidRPr="00BB4611" w:rsidRDefault="00BB4611" w:rsidP="00BB4611">
            <w:pPr>
              <w:pStyle w:val="tableheading"/>
              <w:ind w:right="170"/>
              <w:jc w:val="right"/>
            </w:pPr>
          </w:p>
        </w:tc>
        <w:tc>
          <w:tcPr>
            <w:tcW w:w="6662" w:type="dxa"/>
            <w:shd w:val="clear" w:color="auto" w:fill="E0FCB9" w:themeFill="accent1" w:themeFillTint="33"/>
          </w:tcPr>
          <w:p w14:paraId="0180F57E" w14:textId="4804C5B9" w:rsidR="00BB4611" w:rsidRPr="00BB4611" w:rsidRDefault="00BB4611" w:rsidP="00BB4611">
            <w:pPr>
              <w:pStyle w:val="tableheading"/>
            </w:pPr>
            <w:r>
              <w:t>Statement</w:t>
            </w:r>
          </w:p>
        </w:tc>
        <w:tc>
          <w:tcPr>
            <w:tcW w:w="1134" w:type="dxa"/>
            <w:shd w:val="clear" w:color="auto" w:fill="E0FCB9" w:themeFill="accent1" w:themeFillTint="33"/>
          </w:tcPr>
          <w:p w14:paraId="4B569473" w14:textId="03C87EF0" w:rsidR="00BB4611" w:rsidRPr="00BB4611" w:rsidRDefault="00BB4611" w:rsidP="00BB4611">
            <w:pPr>
              <w:pStyle w:val="tableheading"/>
              <w:jc w:val="center"/>
            </w:pPr>
            <w:r w:rsidRPr="00BB4611">
              <w:t>TRUE</w:t>
            </w:r>
          </w:p>
        </w:tc>
        <w:tc>
          <w:tcPr>
            <w:tcW w:w="993" w:type="dxa"/>
            <w:shd w:val="clear" w:color="auto" w:fill="E0FCB9" w:themeFill="accent1" w:themeFillTint="33"/>
          </w:tcPr>
          <w:p w14:paraId="5389EA07" w14:textId="2696D725" w:rsidR="00BB4611" w:rsidRPr="00BB4611" w:rsidRDefault="00BB4611" w:rsidP="00BB4611">
            <w:pPr>
              <w:pStyle w:val="tableheading"/>
              <w:jc w:val="center"/>
            </w:pPr>
            <w:r w:rsidRPr="00BB4611">
              <w:t>FALSE</w:t>
            </w:r>
          </w:p>
        </w:tc>
      </w:tr>
      <w:tr w:rsidR="00BB4611" w14:paraId="4B13B202" w14:textId="77777777" w:rsidTr="00B105CF">
        <w:tc>
          <w:tcPr>
            <w:tcW w:w="817" w:type="dxa"/>
          </w:tcPr>
          <w:p w14:paraId="652E4129" w14:textId="7A222B76" w:rsidR="00BB4611" w:rsidRDefault="00BB4611" w:rsidP="00B105CF">
            <w:pPr>
              <w:pStyle w:val="tableheading"/>
              <w:keepNext w:val="0"/>
              <w:ind w:right="170"/>
              <w:jc w:val="right"/>
            </w:pPr>
            <w:r>
              <w:t>1</w:t>
            </w:r>
          </w:p>
        </w:tc>
        <w:tc>
          <w:tcPr>
            <w:tcW w:w="6662" w:type="dxa"/>
          </w:tcPr>
          <w:p w14:paraId="7D907232" w14:textId="46366F3A" w:rsidR="00BB4611" w:rsidRDefault="00BB4611" w:rsidP="00B105CF">
            <w:pPr>
              <w:pStyle w:val="table"/>
            </w:pPr>
            <w:r w:rsidRPr="00722DE7">
              <w:t>It is important to share assessment information with the relevant coordination groups in a timely manner.</w:t>
            </w:r>
          </w:p>
        </w:tc>
        <w:tc>
          <w:tcPr>
            <w:tcW w:w="1134" w:type="dxa"/>
          </w:tcPr>
          <w:p w14:paraId="2979D171" w14:textId="6F5330F2" w:rsidR="00BB4611" w:rsidRPr="007D1ADB" w:rsidRDefault="00BB4611" w:rsidP="00B105CF">
            <w:pPr>
              <w:pStyle w:val="table"/>
              <w:jc w:val="center"/>
              <w:rPr>
                <w:rFonts w:ascii="Wingdings" w:hAnsi="Wingdings"/>
                <w:color w:val="579305" w:themeColor="accent1"/>
                <w:sz w:val="28"/>
                <w:szCs w:val="28"/>
              </w:rPr>
            </w:pPr>
            <w:r w:rsidRPr="007D1ADB">
              <w:rPr>
                <w:rFonts w:ascii="Wingdings" w:hAnsi="Wingdings"/>
                <w:color w:val="579305" w:themeColor="accent1"/>
                <w:sz w:val="28"/>
                <w:szCs w:val="28"/>
              </w:rPr>
              <w:t></w:t>
            </w:r>
          </w:p>
        </w:tc>
        <w:tc>
          <w:tcPr>
            <w:tcW w:w="993" w:type="dxa"/>
          </w:tcPr>
          <w:p w14:paraId="41649778" w14:textId="6A6BC722" w:rsidR="00BB4611" w:rsidRDefault="00BB4611" w:rsidP="00B105CF">
            <w:pPr>
              <w:pStyle w:val="table"/>
              <w:jc w:val="center"/>
            </w:pPr>
            <w:r w:rsidRPr="007D1ADB">
              <w:rPr>
                <w:rFonts w:ascii="Wingdings" w:hAnsi="Wingdings"/>
                <w:color w:val="579305" w:themeColor="accent1"/>
                <w:sz w:val="28"/>
                <w:szCs w:val="28"/>
              </w:rPr>
              <w:t></w:t>
            </w:r>
          </w:p>
        </w:tc>
      </w:tr>
      <w:tr w:rsidR="00BB4611" w14:paraId="0FF5AD12" w14:textId="77777777" w:rsidTr="00B105CF">
        <w:tc>
          <w:tcPr>
            <w:tcW w:w="817" w:type="dxa"/>
            <w:shd w:val="clear" w:color="auto" w:fill="FAFFEE"/>
          </w:tcPr>
          <w:p w14:paraId="5E3B917A" w14:textId="0BEA453B" w:rsidR="00BB4611" w:rsidRDefault="00BB4611" w:rsidP="00B105CF">
            <w:pPr>
              <w:pStyle w:val="tableheading"/>
              <w:keepNext w:val="0"/>
              <w:ind w:right="170"/>
              <w:jc w:val="right"/>
            </w:pPr>
            <w:r>
              <w:t>2</w:t>
            </w:r>
          </w:p>
        </w:tc>
        <w:tc>
          <w:tcPr>
            <w:tcW w:w="6662" w:type="dxa"/>
            <w:shd w:val="clear" w:color="auto" w:fill="FAFFEE"/>
          </w:tcPr>
          <w:p w14:paraId="4DA0C148" w14:textId="3155D2F9" w:rsidR="00BB4611" w:rsidRDefault="00BB4611" w:rsidP="00B105CF">
            <w:pPr>
              <w:pStyle w:val="table"/>
            </w:pPr>
            <w:r w:rsidRPr="00722DE7">
              <w:t>Coordination can save lives.</w:t>
            </w:r>
          </w:p>
        </w:tc>
        <w:tc>
          <w:tcPr>
            <w:tcW w:w="1134" w:type="dxa"/>
            <w:shd w:val="clear" w:color="auto" w:fill="FAFFEE"/>
          </w:tcPr>
          <w:p w14:paraId="2B23B6BB" w14:textId="347F4194" w:rsidR="00BB4611" w:rsidRDefault="00BB4611" w:rsidP="00B105CF">
            <w:pPr>
              <w:pStyle w:val="table"/>
              <w:jc w:val="center"/>
            </w:pPr>
            <w:r w:rsidRPr="007D1ADB">
              <w:rPr>
                <w:rFonts w:ascii="Wingdings" w:hAnsi="Wingdings"/>
                <w:color w:val="579305" w:themeColor="accent1"/>
                <w:sz w:val="28"/>
                <w:szCs w:val="28"/>
              </w:rPr>
              <w:t></w:t>
            </w:r>
          </w:p>
        </w:tc>
        <w:tc>
          <w:tcPr>
            <w:tcW w:w="993" w:type="dxa"/>
            <w:shd w:val="clear" w:color="auto" w:fill="FAFFEE"/>
          </w:tcPr>
          <w:p w14:paraId="1425FA07" w14:textId="11038A3C" w:rsidR="00BB4611" w:rsidRDefault="00BB4611" w:rsidP="00B105CF">
            <w:pPr>
              <w:pStyle w:val="table"/>
              <w:jc w:val="center"/>
            </w:pPr>
            <w:r w:rsidRPr="007D1ADB">
              <w:rPr>
                <w:rFonts w:ascii="Wingdings" w:hAnsi="Wingdings"/>
                <w:color w:val="579305" w:themeColor="accent1"/>
                <w:sz w:val="28"/>
                <w:szCs w:val="28"/>
              </w:rPr>
              <w:t></w:t>
            </w:r>
          </w:p>
        </w:tc>
      </w:tr>
      <w:tr w:rsidR="00BB4611" w14:paraId="09803BFE" w14:textId="77777777" w:rsidTr="00B105CF">
        <w:tc>
          <w:tcPr>
            <w:tcW w:w="817" w:type="dxa"/>
          </w:tcPr>
          <w:p w14:paraId="3D8D438C" w14:textId="356EA98C" w:rsidR="00BB4611" w:rsidRDefault="00BB4611" w:rsidP="00B105CF">
            <w:pPr>
              <w:pStyle w:val="tableheading"/>
              <w:keepNext w:val="0"/>
              <w:ind w:right="170"/>
              <w:jc w:val="right"/>
            </w:pPr>
            <w:r>
              <w:t>3</w:t>
            </w:r>
          </w:p>
        </w:tc>
        <w:tc>
          <w:tcPr>
            <w:tcW w:w="6662" w:type="dxa"/>
          </w:tcPr>
          <w:p w14:paraId="5EFD4CCD" w14:textId="448B5833" w:rsidR="00BB4611" w:rsidRDefault="00BB4611" w:rsidP="00B105CF">
            <w:pPr>
              <w:pStyle w:val="table"/>
            </w:pPr>
            <w:r w:rsidRPr="00722DE7">
              <w:t>In an emergency, it is OCHA who takes the lead to coordinate humanitarian intervention.</w:t>
            </w:r>
          </w:p>
        </w:tc>
        <w:tc>
          <w:tcPr>
            <w:tcW w:w="1134" w:type="dxa"/>
          </w:tcPr>
          <w:p w14:paraId="36783654" w14:textId="7A5B2D6E" w:rsidR="00BB4611" w:rsidRDefault="00BB4611" w:rsidP="00B105CF">
            <w:pPr>
              <w:pStyle w:val="table"/>
              <w:jc w:val="center"/>
            </w:pPr>
            <w:r w:rsidRPr="007D1ADB">
              <w:rPr>
                <w:rFonts w:ascii="Wingdings" w:hAnsi="Wingdings"/>
                <w:color w:val="579305" w:themeColor="accent1"/>
                <w:sz w:val="28"/>
                <w:szCs w:val="28"/>
              </w:rPr>
              <w:t></w:t>
            </w:r>
          </w:p>
        </w:tc>
        <w:tc>
          <w:tcPr>
            <w:tcW w:w="993" w:type="dxa"/>
          </w:tcPr>
          <w:p w14:paraId="3CC916E6" w14:textId="16EAD504" w:rsidR="00BB4611" w:rsidRDefault="00BB4611" w:rsidP="00B105CF">
            <w:pPr>
              <w:pStyle w:val="table"/>
              <w:jc w:val="center"/>
            </w:pPr>
            <w:r w:rsidRPr="007D1ADB">
              <w:rPr>
                <w:rFonts w:ascii="Wingdings" w:hAnsi="Wingdings"/>
                <w:color w:val="579305" w:themeColor="accent1"/>
                <w:sz w:val="28"/>
                <w:szCs w:val="28"/>
              </w:rPr>
              <w:t></w:t>
            </w:r>
          </w:p>
        </w:tc>
      </w:tr>
      <w:tr w:rsidR="00BB4611" w14:paraId="646CDE95" w14:textId="77777777" w:rsidTr="00B105CF">
        <w:tc>
          <w:tcPr>
            <w:tcW w:w="817" w:type="dxa"/>
            <w:shd w:val="clear" w:color="auto" w:fill="FAFFEE"/>
          </w:tcPr>
          <w:p w14:paraId="13E06B04" w14:textId="716B33C7" w:rsidR="00BB4611" w:rsidRDefault="00BB4611" w:rsidP="00B105CF">
            <w:pPr>
              <w:pStyle w:val="tableheading"/>
              <w:keepNext w:val="0"/>
              <w:ind w:right="170"/>
              <w:jc w:val="right"/>
            </w:pPr>
            <w:r>
              <w:t>4</w:t>
            </w:r>
          </w:p>
        </w:tc>
        <w:tc>
          <w:tcPr>
            <w:tcW w:w="6662" w:type="dxa"/>
            <w:shd w:val="clear" w:color="auto" w:fill="FAFFEE"/>
          </w:tcPr>
          <w:p w14:paraId="178A28DD" w14:textId="30C369C8" w:rsidR="00BB4611" w:rsidRDefault="00BB4611" w:rsidP="00B105CF">
            <w:pPr>
              <w:pStyle w:val="table"/>
            </w:pPr>
            <w:r w:rsidRPr="00722DE7">
              <w:t>It is better if each agency performs their own analysis of the humanitarian situation and selects the geographical area for their response plan on their own because we cannot rely on others to respond the same way that we would.</w:t>
            </w:r>
          </w:p>
        </w:tc>
        <w:tc>
          <w:tcPr>
            <w:tcW w:w="1134" w:type="dxa"/>
            <w:shd w:val="clear" w:color="auto" w:fill="FAFFEE"/>
          </w:tcPr>
          <w:p w14:paraId="2A4E527F" w14:textId="0BAE7672" w:rsidR="00BB4611" w:rsidRDefault="00BB4611" w:rsidP="00B105CF">
            <w:pPr>
              <w:pStyle w:val="table"/>
              <w:jc w:val="center"/>
            </w:pPr>
            <w:r w:rsidRPr="007D1ADB">
              <w:rPr>
                <w:rFonts w:ascii="Wingdings" w:hAnsi="Wingdings"/>
                <w:color w:val="579305" w:themeColor="accent1"/>
                <w:sz w:val="28"/>
                <w:szCs w:val="28"/>
              </w:rPr>
              <w:t></w:t>
            </w:r>
          </w:p>
        </w:tc>
        <w:tc>
          <w:tcPr>
            <w:tcW w:w="993" w:type="dxa"/>
            <w:shd w:val="clear" w:color="auto" w:fill="FAFFEE"/>
          </w:tcPr>
          <w:p w14:paraId="19BF8C0F" w14:textId="3F02BC05" w:rsidR="00BB4611" w:rsidRDefault="00BB4611" w:rsidP="00B105CF">
            <w:pPr>
              <w:pStyle w:val="table"/>
              <w:jc w:val="center"/>
            </w:pPr>
            <w:r w:rsidRPr="007D1ADB">
              <w:rPr>
                <w:rFonts w:ascii="Wingdings" w:hAnsi="Wingdings"/>
                <w:color w:val="579305" w:themeColor="accent1"/>
                <w:sz w:val="28"/>
                <w:szCs w:val="28"/>
              </w:rPr>
              <w:t></w:t>
            </w:r>
          </w:p>
        </w:tc>
      </w:tr>
      <w:tr w:rsidR="00BB4611" w14:paraId="59DA6D4E" w14:textId="77777777" w:rsidTr="00B105CF">
        <w:tc>
          <w:tcPr>
            <w:tcW w:w="817" w:type="dxa"/>
          </w:tcPr>
          <w:p w14:paraId="0B3A7033" w14:textId="38AE43EB" w:rsidR="00BB4611" w:rsidRDefault="00BB4611" w:rsidP="00B105CF">
            <w:pPr>
              <w:pStyle w:val="tableheading"/>
              <w:keepNext w:val="0"/>
              <w:ind w:right="170"/>
              <w:jc w:val="right"/>
            </w:pPr>
            <w:r>
              <w:t>5</w:t>
            </w:r>
          </w:p>
        </w:tc>
        <w:tc>
          <w:tcPr>
            <w:tcW w:w="6662" w:type="dxa"/>
          </w:tcPr>
          <w:p w14:paraId="3FA3F0BE" w14:textId="53BDDB8C" w:rsidR="00BB4611" w:rsidRDefault="00BB4611" w:rsidP="00B105CF">
            <w:pPr>
              <w:pStyle w:val="table"/>
            </w:pPr>
            <w:r w:rsidRPr="00722DE7">
              <w:t>Any person from my organisation can attend a coordination meeting, the important part is to be represented.</w:t>
            </w:r>
          </w:p>
        </w:tc>
        <w:tc>
          <w:tcPr>
            <w:tcW w:w="1134" w:type="dxa"/>
          </w:tcPr>
          <w:p w14:paraId="0F57711C" w14:textId="4ED24894" w:rsidR="00BB4611" w:rsidRDefault="00BB4611" w:rsidP="00B105CF">
            <w:pPr>
              <w:pStyle w:val="table"/>
              <w:jc w:val="center"/>
            </w:pPr>
            <w:r w:rsidRPr="007D1ADB">
              <w:rPr>
                <w:rFonts w:ascii="Wingdings" w:hAnsi="Wingdings"/>
                <w:color w:val="579305" w:themeColor="accent1"/>
                <w:sz w:val="28"/>
                <w:szCs w:val="28"/>
              </w:rPr>
              <w:t></w:t>
            </w:r>
          </w:p>
        </w:tc>
        <w:tc>
          <w:tcPr>
            <w:tcW w:w="993" w:type="dxa"/>
          </w:tcPr>
          <w:p w14:paraId="289AE89C" w14:textId="7437422F" w:rsidR="00BB4611" w:rsidRDefault="00BB4611" w:rsidP="00B105CF">
            <w:pPr>
              <w:pStyle w:val="table"/>
              <w:jc w:val="center"/>
            </w:pPr>
            <w:r w:rsidRPr="007D1ADB">
              <w:rPr>
                <w:rFonts w:ascii="Wingdings" w:hAnsi="Wingdings"/>
                <w:color w:val="579305" w:themeColor="accent1"/>
                <w:sz w:val="28"/>
                <w:szCs w:val="28"/>
              </w:rPr>
              <w:t></w:t>
            </w:r>
          </w:p>
        </w:tc>
      </w:tr>
      <w:tr w:rsidR="00BB4611" w14:paraId="6C4D7B38" w14:textId="77777777" w:rsidTr="00B105CF">
        <w:tc>
          <w:tcPr>
            <w:tcW w:w="817" w:type="dxa"/>
            <w:shd w:val="clear" w:color="auto" w:fill="FAFFEE"/>
          </w:tcPr>
          <w:p w14:paraId="7DF00A90" w14:textId="10705422" w:rsidR="00BB4611" w:rsidRDefault="00BB4611" w:rsidP="00B105CF">
            <w:pPr>
              <w:pStyle w:val="tableheading"/>
              <w:keepNext w:val="0"/>
              <w:ind w:right="170"/>
              <w:jc w:val="right"/>
            </w:pPr>
            <w:r>
              <w:t>6</w:t>
            </w:r>
          </w:p>
        </w:tc>
        <w:tc>
          <w:tcPr>
            <w:tcW w:w="6662" w:type="dxa"/>
            <w:shd w:val="clear" w:color="auto" w:fill="FAFFEE"/>
          </w:tcPr>
          <w:p w14:paraId="2BA031DD" w14:textId="359C650C" w:rsidR="00BB4611" w:rsidRDefault="00BB4611" w:rsidP="00B105CF">
            <w:pPr>
              <w:pStyle w:val="table"/>
            </w:pPr>
            <w:r w:rsidRPr="00722DE7">
              <w:t>While humanitarian service delivery should be coordinated, advocacy should be done by each single agency.</w:t>
            </w:r>
          </w:p>
        </w:tc>
        <w:tc>
          <w:tcPr>
            <w:tcW w:w="1134" w:type="dxa"/>
            <w:shd w:val="clear" w:color="auto" w:fill="FAFFEE"/>
          </w:tcPr>
          <w:p w14:paraId="3BA5ADAC" w14:textId="06F2FEE9" w:rsidR="00BB4611" w:rsidRDefault="00BB4611" w:rsidP="00B105CF">
            <w:pPr>
              <w:pStyle w:val="table"/>
              <w:jc w:val="center"/>
            </w:pPr>
            <w:r w:rsidRPr="007D1ADB">
              <w:rPr>
                <w:rFonts w:ascii="Wingdings" w:hAnsi="Wingdings"/>
                <w:color w:val="579305" w:themeColor="accent1"/>
                <w:sz w:val="28"/>
                <w:szCs w:val="28"/>
              </w:rPr>
              <w:t></w:t>
            </w:r>
          </w:p>
        </w:tc>
        <w:tc>
          <w:tcPr>
            <w:tcW w:w="993" w:type="dxa"/>
            <w:shd w:val="clear" w:color="auto" w:fill="FAFFEE"/>
          </w:tcPr>
          <w:p w14:paraId="5E0476C6" w14:textId="3329F19C" w:rsidR="00BB4611" w:rsidRDefault="00BB4611" w:rsidP="00B105CF">
            <w:pPr>
              <w:pStyle w:val="table"/>
              <w:jc w:val="center"/>
            </w:pPr>
            <w:r w:rsidRPr="007D1ADB">
              <w:rPr>
                <w:rFonts w:ascii="Wingdings" w:hAnsi="Wingdings"/>
                <w:color w:val="579305" w:themeColor="accent1"/>
                <w:sz w:val="28"/>
                <w:szCs w:val="28"/>
              </w:rPr>
              <w:t></w:t>
            </w:r>
          </w:p>
        </w:tc>
      </w:tr>
      <w:tr w:rsidR="00BB4611" w14:paraId="0AB7A1CA" w14:textId="77777777" w:rsidTr="00B105CF">
        <w:tc>
          <w:tcPr>
            <w:tcW w:w="817" w:type="dxa"/>
          </w:tcPr>
          <w:p w14:paraId="28682D5B" w14:textId="405853F3" w:rsidR="00BB4611" w:rsidRDefault="00BB4611" w:rsidP="00B105CF">
            <w:pPr>
              <w:pStyle w:val="tableheading"/>
              <w:keepNext w:val="0"/>
              <w:ind w:right="170"/>
              <w:jc w:val="right"/>
            </w:pPr>
            <w:r>
              <w:t>7</w:t>
            </w:r>
          </w:p>
        </w:tc>
        <w:tc>
          <w:tcPr>
            <w:tcW w:w="6662" w:type="dxa"/>
          </w:tcPr>
          <w:p w14:paraId="737D05C2" w14:textId="4BDD595F" w:rsidR="00BB4611" w:rsidRDefault="00BB4611" w:rsidP="00B105CF">
            <w:pPr>
              <w:pStyle w:val="table"/>
            </w:pPr>
            <w:r w:rsidRPr="00722DE7">
              <w:t>It is important to share to the coordination platform not only the progress of my organisation’s implementation, but also any major delays.</w:t>
            </w:r>
          </w:p>
        </w:tc>
        <w:tc>
          <w:tcPr>
            <w:tcW w:w="1134" w:type="dxa"/>
          </w:tcPr>
          <w:p w14:paraId="1E52CB68" w14:textId="6B26B3A7" w:rsidR="00BB4611" w:rsidRDefault="00BB4611" w:rsidP="00B105CF">
            <w:pPr>
              <w:pStyle w:val="table"/>
              <w:jc w:val="center"/>
            </w:pPr>
            <w:r w:rsidRPr="007D1ADB">
              <w:rPr>
                <w:rFonts w:ascii="Wingdings" w:hAnsi="Wingdings"/>
                <w:color w:val="579305" w:themeColor="accent1"/>
                <w:sz w:val="28"/>
                <w:szCs w:val="28"/>
              </w:rPr>
              <w:t></w:t>
            </w:r>
          </w:p>
        </w:tc>
        <w:tc>
          <w:tcPr>
            <w:tcW w:w="993" w:type="dxa"/>
          </w:tcPr>
          <w:p w14:paraId="695205DB" w14:textId="46C70088" w:rsidR="00BB4611" w:rsidRDefault="00BB4611" w:rsidP="00B105CF">
            <w:pPr>
              <w:pStyle w:val="table"/>
              <w:jc w:val="center"/>
            </w:pPr>
            <w:r w:rsidRPr="007D1ADB">
              <w:rPr>
                <w:rFonts w:ascii="Wingdings" w:hAnsi="Wingdings"/>
                <w:color w:val="579305" w:themeColor="accent1"/>
                <w:sz w:val="28"/>
                <w:szCs w:val="28"/>
              </w:rPr>
              <w:t></w:t>
            </w:r>
          </w:p>
        </w:tc>
      </w:tr>
      <w:tr w:rsidR="00BB4611" w14:paraId="6E71B52C" w14:textId="77777777" w:rsidTr="00B105CF">
        <w:tc>
          <w:tcPr>
            <w:tcW w:w="817" w:type="dxa"/>
            <w:shd w:val="clear" w:color="auto" w:fill="FAFFEE"/>
          </w:tcPr>
          <w:p w14:paraId="15CDC62A" w14:textId="17996294" w:rsidR="00BB4611" w:rsidRDefault="00BB4611" w:rsidP="00B105CF">
            <w:pPr>
              <w:pStyle w:val="tableheading"/>
              <w:keepNext w:val="0"/>
              <w:ind w:right="170"/>
              <w:jc w:val="right"/>
            </w:pPr>
            <w:r>
              <w:t>8</w:t>
            </w:r>
          </w:p>
        </w:tc>
        <w:tc>
          <w:tcPr>
            <w:tcW w:w="6662" w:type="dxa"/>
            <w:shd w:val="clear" w:color="auto" w:fill="FAFFEE"/>
          </w:tcPr>
          <w:p w14:paraId="41C68631" w14:textId="05BA6D74" w:rsidR="00BB4611" w:rsidRDefault="00BB4611" w:rsidP="00B105CF">
            <w:pPr>
              <w:pStyle w:val="table"/>
            </w:pPr>
            <w:r w:rsidRPr="00722DE7">
              <w:t>The Sphere Handbook cannot be used as a coordination tool because it is not owned by any one organisation.</w:t>
            </w:r>
          </w:p>
        </w:tc>
        <w:tc>
          <w:tcPr>
            <w:tcW w:w="1134" w:type="dxa"/>
            <w:shd w:val="clear" w:color="auto" w:fill="FAFFEE"/>
          </w:tcPr>
          <w:p w14:paraId="7816EE66" w14:textId="5B6C4CC7" w:rsidR="00BB4611" w:rsidRDefault="00BB4611" w:rsidP="00B105CF">
            <w:pPr>
              <w:pStyle w:val="table"/>
              <w:jc w:val="center"/>
            </w:pPr>
            <w:r w:rsidRPr="007D1ADB">
              <w:rPr>
                <w:rFonts w:ascii="Wingdings" w:hAnsi="Wingdings"/>
                <w:color w:val="579305" w:themeColor="accent1"/>
                <w:sz w:val="28"/>
                <w:szCs w:val="28"/>
              </w:rPr>
              <w:t></w:t>
            </w:r>
          </w:p>
        </w:tc>
        <w:tc>
          <w:tcPr>
            <w:tcW w:w="993" w:type="dxa"/>
            <w:shd w:val="clear" w:color="auto" w:fill="FAFFEE"/>
          </w:tcPr>
          <w:p w14:paraId="22C4AEC6" w14:textId="64CA534B" w:rsidR="00BB4611" w:rsidRDefault="00BB4611" w:rsidP="00B105CF">
            <w:pPr>
              <w:pStyle w:val="table"/>
              <w:jc w:val="center"/>
            </w:pPr>
            <w:r w:rsidRPr="007D1ADB">
              <w:rPr>
                <w:rFonts w:ascii="Wingdings" w:hAnsi="Wingdings"/>
                <w:color w:val="579305" w:themeColor="accent1"/>
                <w:sz w:val="28"/>
                <w:szCs w:val="28"/>
              </w:rPr>
              <w:t></w:t>
            </w:r>
          </w:p>
        </w:tc>
      </w:tr>
      <w:tr w:rsidR="00BB4611" w14:paraId="761DA8D6" w14:textId="77777777" w:rsidTr="00B105CF">
        <w:tc>
          <w:tcPr>
            <w:tcW w:w="817" w:type="dxa"/>
          </w:tcPr>
          <w:p w14:paraId="079B6D4C" w14:textId="72677E50" w:rsidR="00BB4611" w:rsidRDefault="00BB4611" w:rsidP="00B105CF">
            <w:pPr>
              <w:pStyle w:val="tableheading"/>
              <w:keepNext w:val="0"/>
              <w:ind w:right="170"/>
              <w:jc w:val="right"/>
            </w:pPr>
            <w:r>
              <w:t>9</w:t>
            </w:r>
          </w:p>
        </w:tc>
        <w:tc>
          <w:tcPr>
            <w:tcW w:w="6662" w:type="dxa"/>
          </w:tcPr>
          <w:p w14:paraId="1B40519F" w14:textId="5C05A9BF" w:rsidR="00BB4611" w:rsidRDefault="00BB4611" w:rsidP="00B105CF">
            <w:pPr>
              <w:pStyle w:val="table"/>
            </w:pPr>
            <w:r w:rsidRPr="00722DE7">
              <w:t>The Sphere Handbook can be used as a coordination tool, but only among NGOs.</w:t>
            </w:r>
          </w:p>
        </w:tc>
        <w:tc>
          <w:tcPr>
            <w:tcW w:w="1134" w:type="dxa"/>
          </w:tcPr>
          <w:p w14:paraId="0D880553" w14:textId="063D856A" w:rsidR="00BB4611" w:rsidRDefault="00BB4611" w:rsidP="00B105CF">
            <w:pPr>
              <w:pStyle w:val="table"/>
              <w:jc w:val="center"/>
            </w:pPr>
            <w:r w:rsidRPr="007D1ADB">
              <w:rPr>
                <w:rFonts w:ascii="Wingdings" w:hAnsi="Wingdings"/>
                <w:color w:val="579305" w:themeColor="accent1"/>
                <w:sz w:val="28"/>
                <w:szCs w:val="28"/>
              </w:rPr>
              <w:t></w:t>
            </w:r>
          </w:p>
        </w:tc>
        <w:tc>
          <w:tcPr>
            <w:tcW w:w="993" w:type="dxa"/>
          </w:tcPr>
          <w:p w14:paraId="3640FC59" w14:textId="0133F47A" w:rsidR="00BB4611" w:rsidRDefault="00BB4611" w:rsidP="00B105CF">
            <w:pPr>
              <w:pStyle w:val="table"/>
              <w:jc w:val="center"/>
            </w:pPr>
            <w:r w:rsidRPr="007D1ADB">
              <w:rPr>
                <w:rFonts w:ascii="Wingdings" w:hAnsi="Wingdings"/>
                <w:color w:val="579305" w:themeColor="accent1"/>
                <w:sz w:val="28"/>
                <w:szCs w:val="28"/>
              </w:rPr>
              <w:t></w:t>
            </w:r>
          </w:p>
        </w:tc>
      </w:tr>
      <w:tr w:rsidR="00BB4611" w14:paraId="12BA754B" w14:textId="77777777" w:rsidTr="00B105CF">
        <w:tc>
          <w:tcPr>
            <w:tcW w:w="817" w:type="dxa"/>
            <w:shd w:val="clear" w:color="auto" w:fill="FAFFEE"/>
          </w:tcPr>
          <w:p w14:paraId="14626F25" w14:textId="0765A5E6" w:rsidR="00BB4611" w:rsidRDefault="00BB4611" w:rsidP="00B105CF">
            <w:pPr>
              <w:pStyle w:val="tableheading"/>
              <w:keepNext w:val="0"/>
              <w:ind w:right="170"/>
              <w:jc w:val="right"/>
            </w:pPr>
            <w:r>
              <w:t>10</w:t>
            </w:r>
          </w:p>
        </w:tc>
        <w:tc>
          <w:tcPr>
            <w:tcW w:w="6662" w:type="dxa"/>
            <w:shd w:val="clear" w:color="auto" w:fill="FAFFEE"/>
          </w:tcPr>
          <w:p w14:paraId="6AE31705" w14:textId="604DDD7A" w:rsidR="00BB4611" w:rsidRDefault="00BB4611" w:rsidP="00B105CF">
            <w:pPr>
              <w:pStyle w:val="table"/>
            </w:pPr>
            <w:r w:rsidRPr="00722DE7">
              <w:t>While coordination mostly takes place within a specific sector, relevant information should be shared among sectors.</w:t>
            </w:r>
          </w:p>
        </w:tc>
        <w:tc>
          <w:tcPr>
            <w:tcW w:w="1134" w:type="dxa"/>
            <w:shd w:val="clear" w:color="auto" w:fill="FAFFEE"/>
          </w:tcPr>
          <w:p w14:paraId="24F70FA2" w14:textId="41368BF1" w:rsidR="00BB4611" w:rsidRDefault="00BB4611" w:rsidP="00B105CF">
            <w:pPr>
              <w:pStyle w:val="table"/>
              <w:jc w:val="center"/>
            </w:pPr>
            <w:r w:rsidRPr="007D1ADB">
              <w:rPr>
                <w:rFonts w:ascii="Wingdings" w:hAnsi="Wingdings"/>
                <w:color w:val="579305" w:themeColor="accent1"/>
                <w:sz w:val="28"/>
                <w:szCs w:val="28"/>
              </w:rPr>
              <w:t></w:t>
            </w:r>
          </w:p>
        </w:tc>
        <w:tc>
          <w:tcPr>
            <w:tcW w:w="993" w:type="dxa"/>
            <w:shd w:val="clear" w:color="auto" w:fill="FAFFEE"/>
          </w:tcPr>
          <w:p w14:paraId="351F7439" w14:textId="64A3690D" w:rsidR="00BB4611" w:rsidRDefault="00BB4611" w:rsidP="00B105CF">
            <w:pPr>
              <w:pStyle w:val="table"/>
              <w:jc w:val="center"/>
            </w:pPr>
            <w:r w:rsidRPr="007D1ADB">
              <w:rPr>
                <w:rFonts w:ascii="Wingdings" w:hAnsi="Wingdings"/>
                <w:color w:val="579305" w:themeColor="accent1"/>
                <w:sz w:val="28"/>
                <w:szCs w:val="28"/>
              </w:rPr>
              <w:t></w:t>
            </w:r>
          </w:p>
        </w:tc>
      </w:tr>
      <w:tr w:rsidR="00BB4611" w14:paraId="4795E72A" w14:textId="77777777" w:rsidTr="00B105CF">
        <w:tc>
          <w:tcPr>
            <w:tcW w:w="817" w:type="dxa"/>
          </w:tcPr>
          <w:p w14:paraId="27EF8BA0" w14:textId="619A0C25" w:rsidR="00BB4611" w:rsidRDefault="00BB4611" w:rsidP="00B105CF">
            <w:pPr>
              <w:pStyle w:val="tableheading"/>
              <w:keepNext w:val="0"/>
              <w:ind w:right="170"/>
              <w:jc w:val="right"/>
            </w:pPr>
            <w:r>
              <w:t>11</w:t>
            </w:r>
          </w:p>
        </w:tc>
        <w:tc>
          <w:tcPr>
            <w:tcW w:w="6662" w:type="dxa"/>
          </w:tcPr>
          <w:p w14:paraId="163275C5" w14:textId="26366A0A" w:rsidR="00BB4611" w:rsidRDefault="00BB4611" w:rsidP="00B105CF">
            <w:pPr>
              <w:pStyle w:val="table"/>
            </w:pPr>
            <w:r w:rsidRPr="00722DE7">
              <w:t>A Cluster is a group of UN agencies operating in an emergency.</w:t>
            </w:r>
          </w:p>
        </w:tc>
        <w:tc>
          <w:tcPr>
            <w:tcW w:w="1134" w:type="dxa"/>
          </w:tcPr>
          <w:p w14:paraId="28DCD0E6" w14:textId="6C020E7B" w:rsidR="00BB4611" w:rsidRDefault="00BB4611" w:rsidP="00B105CF">
            <w:pPr>
              <w:pStyle w:val="table"/>
              <w:jc w:val="center"/>
            </w:pPr>
            <w:r w:rsidRPr="007D1ADB">
              <w:rPr>
                <w:rFonts w:ascii="Wingdings" w:hAnsi="Wingdings"/>
                <w:color w:val="579305" w:themeColor="accent1"/>
                <w:sz w:val="28"/>
                <w:szCs w:val="28"/>
              </w:rPr>
              <w:t></w:t>
            </w:r>
          </w:p>
        </w:tc>
        <w:tc>
          <w:tcPr>
            <w:tcW w:w="993" w:type="dxa"/>
          </w:tcPr>
          <w:p w14:paraId="3A46C239" w14:textId="25F28111" w:rsidR="00BB4611" w:rsidRDefault="00BB4611" w:rsidP="00B105CF">
            <w:pPr>
              <w:pStyle w:val="table"/>
              <w:jc w:val="center"/>
            </w:pPr>
            <w:r w:rsidRPr="007D1ADB">
              <w:rPr>
                <w:rFonts w:ascii="Wingdings" w:hAnsi="Wingdings"/>
                <w:color w:val="579305" w:themeColor="accent1"/>
                <w:sz w:val="28"/>
                <w:szCs w:val="28"/>
              </w:rPr>
              <w:t></w:t>
            </w:r>
          </w:p>
        </w:tc>
      </w:tr>
      <w:tr w:rsidR="00BB4611" w14:paraId="0FFA1282" w14:textId="77777777" w:rsidTr="00B105CF">
        <w:tc>
          <w:tcPr>
            <w:tcW w:w="817" w:type="dxa"/>
            <w:shd w:val="clear" w:color="auto" w:fill="FAFFEE"/>
          </w:tcPr>
          <w:p w14:paraId="572D6FB2" w14:textId="6DD0CBFE" w:rsidR="00BB4611" w:rsidRDefault="00BB4611" w:rsidP="00B105CF">
            <w:pPr>
              <w:pStyle w:val="tableheading"/>
              <w:keepNext w:val="0"/>
              <w:ind w:right="170"/>
              <w:jc w:val="right"/>
            </w:pPr>
            <w:r>
              <w:t>12</w:t>
            </w:r>
          </w:p>
        </w:tc>
        <w:tc>
          <w:tcPr>
            <w:tcW w:w="6662" w:type="dxa"/>
            <w:shd w:val="clear" w:color="auto" w:fill="FAFFEE"/>
          </w:tcPr>
          <w:p w14:paraId="5CD203A8" w14:textId="108EB782" w:rsidR="00BB4611" w:rsidRDefault="00BB4611" w:rsidP="00B105CF">
            <w:pPr>
              <w:pStyle w:val="table"/>
            </w:pPr>
            <w:r w:rsidRPr="00722DE7">
              <w:t>If military forces bring particular expertise and resources – including security, logistics, transport and communication in an emergency response – there is no issue to openly coordinate with them.</w:t>
            </w:r>
          </w:p>
        </w:tc>
        <w:tc>
          <w:tcPr>
            <w:tcW w:w="1134" w:type="dxa"/>
            <w:shd w:val="clear" w:color="auto" w:fill="FAFFEE"/>
          </w:tcPr>
          <w:p w14:paraId="7FE33638" w14:textId="634E30BB" w:rsidR="00BB4611" w:rsidRDefault="00BB4611" w:rsidP="00B105CF">
            <w:pPr>
              <w:pStyle w:val="table"/>
              <w:jc w:val="center"/>
            </w:pPr>
            <w:r w:rsidRPr="007D1ADB">
              <w:rPr>
                <w:rFonts w:ascii="Wingdings" w:hAnsi="Wingdings"/>
                <w:color w:val="579305" w:themeColor="accent1"/>
                <w:sz w:val="28"/>
                <w:szCs w:val="28"/>
              </w:rPr>
              <w:t></w:t>
            </w:r>
          </w:p>
        </w:tc>
        <w:tc>
          <w:tcPr>
            <w:tcW w:w="993" w:type="dxa"/>
            <w:shd w:val="clear" w:color="auto" w:fill="FAFFEE"/>
          </w:tcPr>
          <w:p w14:paraId="4AA3FBA7" w14:textId="49B061AE" w:rsidR="00BB4611" w:rsidRDefault="00BB4611" w:rsidP="00B105CF">
            <w:pPr>
              <w:pStyle w:val="table"/>
              <w:jc w:val="center"/>
            </w:pPr>
            <w:r w:rsidRPr="007D1ADB">
              <w:rPr>
                <w:rFonts w:ascii="Wingdings" w:hAnsi="Wingdings"/>
                <w:color w:val="579305" w:themeColor="accent1"/>
                <w:sz w:val="28"/>
                <w:szCs w:val="28"/>
              </w:rPr>
              <w:t></w:t>
            </w:r>
          </w:p>
        </w:tc>
      </w:tr>
      <w:tr w:rsidR="00BB4611" w14:paraId="3219EC97" w14:textId="77777777" w:rsidTr="00B105CF">
        <w:tc>
          <w:tcPr>
            <w:tcW w:w="817" w:type="dxa"/>
          </w:tcPr>
          <w:p w14:paraId="280158E1" w14:textId="7E2EC655" w:rsidR="00BB4611" w:rsidRDefault="00BB4611" w:rsidP="00B105CF">
            <w:pPr>
              <w:pStyle w:val="tableheading"/>
              <w:keepNext w:val="0"/>
              <w:ind w:right="170"/>
              <w:jc w:val="right"/>
            </w:pPr>
            <w:r>
              <w:t>13</w:t>
            </w:r>
          </w:p>
        </w:tc>
        <w:tc>
          <w:tcPr>
            <w:tcW w:w="6662" w:type="dxa"/>
          </w:tcPr>
          <w:p w14:paraId="07A4BABB" w14:textId="4E22C0B4" w:rsidR="00BB4611" w:rsidRDefault="00BB4611" w:rsidP="00B105CF">
            <w:pPr>
              <w:pStyle w:val="table"/>
            </w:pPr>
            <w:r w:rsidRPr="00722DE7">
              <w:t>It is important to promote good humanitarian practice with the private sector when it is involved in emergency response.</w:t>
            </w:r>
          </w:p>
        </w:tc>
        <w:tc>
          <w:tcPr>
            <w:tcW w:w="1134" w:type="dxa"/>
          </w:tcPr>
          <w:p w14:paraId="559C3F92" w14:textId="2637ADF3" w:rsidR="00BB4611" w:rsidRDefault="00BB4611" w:rsidP="00B105CF">
            <w:pPr>
              <w:pStyle w:val="table"/>
              <w:jc w:val="center"/>
            </w:pPr>
            <w:r w:rsidRPr="007D1ADB">
              <w:rPr>
                <w:rFonts w:ascii="Wingdings" w:hAnsi="Wingdings"/>
                <w:color w:val="579305" w:themeColor="accent1"/>
                <w:sz w:val="28"/>
                <w:szCs w:val="28"/>
              </w:rPr>
              <w:t></w:t>
            </w:r>
          </w:p>
        </w:tc>
        <w:tc>
          <w:tcPr>
            <w:tcW w:w="993" w:type="dxa"/>
          </w:tcPr>
          <w:p w14:paraId="663FA13F" w14:textId="4119177F" w:rsidR="00BB4611" w:rsidRDefault="00BB4611" w:rsidP="00B105CF">
            <w:pPr>
              <w:pStyle w:val="table"/>
              <w:jc w:val="center"/>
            </w:pPr>
            <w:r w:rsidRPr="007D1ADB">
              <w:rPr>
                <w:rFonts w:ascii="Wingdings" w:hAnsi="Wingdings"/>
                <w:color w:val="579305" w:themeColor="accent1"/>
                <w:sz w:val="28"/>
                <w:szCs w:val="28"/>
              </w:rPr>
              <w:t></w:t>
            </w:r>
          </w:p>
        </w:tc>
      </w:tr>
    </w:tbl>
    <w:p w14:paraId="2E2748CF" w14:textId="1D94C373" w:rsidR="00D966B6" w:rsidRPr="00BB4611" w:rsidRDefault="00D966B6" w:rsidP="00A12F35">
      <w:pPr>
        <w:pStyle w:val="Heading3"/>
        <w:spacing w:before="240" w:after="240"/>
      </w:pPr>
      <w:r>
        <w:lastRenderedPageBreak/>
        <w:t xml:space="preserve">Answers – </w:t>
      </w:r>
      <w:r w:rsidRPr="00BB4611">
        <w:t>Q</w:t>
      </w:r>
      <w:r w:rsidR="0022798A">
        <w:t xml:space="preserve">uiz </w:t>
      </w:r>
      <w:r w:rsidRPr="00BB4611">
        <w:t>on coordination</w:t>
      </w:r>
    </w:p>
    <w:tbl>
      <w:tblPr>
        <w:tblStyle w:val="TableGrid"/>
        <w:tblW w:w="9606"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675"/>
        <w:gridCol w:w="6663"/>
        <w:gridCol w:w="2268"/>
      </w:tblGrid>
      <w:tr w:rsidR="007D466E" w:rsidRPr="00BB4611" w14:paraId="18283FC6" w14:textId="488EDE14" w:rsidTr="00B105CF">
        <w:trPr>
          <w:cantSplit/>
          <w:tblHeader/>
        </w:trPr>
        <w:tc>
          <w:tcPr>
            <w:tcW w:w="675" w:type="dxa"/>
            <w:shd w:val="clear" w:color="auto" w:fill="E0FCB9" w:themeFill="accent1" w:themeFillTint="33"/>
          </w:tcPr>
          <w:p w14:paraId="3420F0B6" w14:textId="77777777" w:rsidR="00D966B6" w:rsidRPr="00BB4611" w:rsidRDefault="00D966B6" w:rsidP="00A12F35">
            <w:pPr>
              <w:pStyle w:val="tableheading"/>
              <w:keepNext w:val="0"/>
              <w:ind w:right="170"/>
              <w:jc w:val="right"/>
            </w:pPr>
          </w:p>
        </w:tc>
        <w:tc>
          <w:tcPr>
            <w:tcW w:w="6663" w:type="dxa"/>
            <w:shd w:val="clear" w:color="auto" w:fill="E0FCB9" w:themeFill="accent1" w:themeFillTint="33"/>
          </w:tcPr>
          <w:p w14:paraId="6EBF42D7" w14:textId="0BC01414" w:rsidR="00D966B6" w:rsidRPr="00BB4611" w:rsidRDefault="00D966B6" w:rsidP="00A12F35">
            <w:pPr>
              <w:pStyle w:val="tableheading"/>
              <w:keepNext w:val="0"/>
            </w:pPr>
            <w:r>
              <w:t>Answer</w:t>
            </w:r>
          </w:p>
        </w:tc>
        <w:tc>
          <w:tcPr>
            <w:tcW w:w="2268" w:type="dxa"/>
            <w:shd w:val="clear" w:color="auto" w:fill="E0FCB9" w:themeFill="accent1" w:themeFillTint="33"/>
          </w:tcPr>
          <w:p w14:paraId="2BEA7990" w14:textId="62CEFF22" w:rsidR="00D966B6" w:rsidRDefault="00D966B6" w:rsidP="00A12F35">
            <w:pPr>
              <w:pStyle w:val="tableheading"/>
              <w:keepNext w:val="0"/>
            </w:pPr>
            <w:r>
              <w:t>Source</w:t>
            </w:r>
          </w:p>
        </w:tc>
      </w:tr>
      <w:tr w:rsidR="007D466E" w14:paraId="4A964EE9" w14:textId="5D464A0D" w:rsidTr="00B105CF">
        <w:trPr>
          <w:cantSplit/>
        </w:trPr>
        <w:tc>
          <w:tcPr>
            <w:tcW w:w="675" w:type="dxa"/>
          </w:tcPr>
          <w:p w14:paraId="5B235908" w14:textId="77777777" w:rsidR="00D966B6" w:rsidRDefault="00D966B6" w:rsidP="00A12F35">
            <w:pPr>
              <w:pStyle w:val="tableheading"/>
              <w:keepNext w:val="0"/>
              <w:ind w:right="170"/>
              <w:jc w:val="right"/>
            </w:pPr>
            <w:r>
              <w:t>1</w:t>
            </w:r>
          </w:p>
        </w:tc>
        <w:tc>
          <w:tcPr>
            <w:tcW w:w="6663" w:type="dxa"/>
          </w:tcPr>
          <w:p w14:paraId="761B7A65" w14:textId="049C2A84" w:rsidR="00D966B6" w:rsidRDefault="00D966B6" w:rsidP="00A12F35">
            <w:pPr>
              <w:pStyle w:val="table"/>
            </w:pPr>
            <w:r w:rsidRPr="00DF5D10">
              <w:t>TRUE: It is also important to share this information in a format that can be readily used by other humanitarian agencies.</w:t>
            </w:r>
          </w:p>
        </w:tc>
        <w:tc>
          <w:tcPr>
            <w:tcW w:w="2268" w:type="dxa"/>
          </w:tcPr>
          <w:p w14:paraId="6C93AC29" w14:textId="1493F173" w:rsidR="00D966B6" w:rsidRDefault="00D21C1D" w:rsidP="00A12F35">
            <w:pPr>
              <w:pStyle w:val="table"/>
            </w:pPr>
            <w:r>
              <w:t>Commitment 6 of the Core Humanitarian Standard</w:t>
            </w:r>
            <w:r w:rsidR="00D03EE0">
              <w:t xml:space="preserve"> (CHS)</w:t>
            </w:r>
            <w:bookmarkStart w:id="0" w:name="_GoBack"/>
            <w:bookmarkEnd w:id="0"/>
            <w:r w:rsidR="00954E91">
              <w:t>, Key action 6.4 p 24  of the CHS Guidance Notes and Indicators</w:t>
            </w:r>
          </w:p>
        </w:tc>
      </w:tr>
      <w:tr w:rsidR="007D466E" w14:paraId="369B7930" w14:textId="7840A01F" w:rsidTr="00B105CF">
        <w:trPr>
          <w:cantSplit/>
        </w:trPr>
        <w:tc>
          <w:tcPr>
            <w:tcW w:w="675" w:type="dxa"/>
            <w:shd w:val="clear" w:color="auto" w:fill="FAFFEE"/>
          </w:tcPr>
          <w:p w14:paraId="035E26ED" w14:textId="77777777" w:rsidR="007D466E" w:rsidRDefault="007D466E" w:rsidP="00A12F35">
            <w:pPr>
              <w:pStyle w:val="tableheading"/>
              <w:keepNext w:val="0"/>
              <w:ind w:right="170"/>
              <w:jc w:val="right"/>
            </w:pPr>
            <w:r>
              <w:t>2</w:t>
            </w:r>
          </w:p>
        </w:tc>
        <w:tc>
          <w:tcPr>
            <w:tcW w:w="6663" w:type="dxa"/>
            <w:shd w:val="clear" w:color="auto" w:fill="FAFFEE"/>
          </w:tcPr>
          <w:p w14:paraId="4E080340" w14:textId="7617CEE2" w:rsidR="007D466E" w:rsidRDefault="007D466E" w:rsidP="00A12F35">
            <w:pPr>
              <w:pStyle w:val="table"/>
            </w:pPr>
            <w:r w:rsidRPr="00DF5D10">
              <w:t>TRUE: ‘Effective coordination is the hidden force multiplier in emergency response. With coordination, one plus one plus one does not equal three; it equals five, or ten. It reduces duplication and competition, and allows different agencies and organizations to complement each other and give added value.’</w:t>
            </w:r>
          </w:p>
        </w:tc>
        <w:tc>
          <w:tcPr>
            <w:tcW w:w="2268" w:type="dxa"/>
            <w:shd w:val="clear" w:color="auto" w:fill="FAFFEE"/>
          </w:tcPr>
          <w:p w14:paraId="624BAF95" w14:textId="33DCE7F7" w:rsidR="007D466E" w:rsidRDefault="007D466E" w:rsidP="00A12F35">
            <w:pPr>
              <w:pStyle w:val="table"/>
            </w:pPr>
            <w:r w:rsidRPr="00A71A99">
              <w:t>Valerie Amos, foreword in ‘Coordination to save lives, history and emerging challenges’</w:t>
            </w:r>
          </w:p>
        </w:tc>
      </w:tr>
      <w:tr w:rsidR="007D466E" w14:paraId="0FA57A38" w14:textId="0C9BDDBE" w:rsidTr="00B105CF">
        <w:trPr>
          <w:cantSplit/>
        </w:trPr>
        <w:tc>
          <w:tcPr>
            <w:tcW w:w="675" w:type="dxa"/>
          </w:tcPr>
          <w:p w14:paraId="0584EC46" w14:textId="77777777" w:rsidR="007D466E" w:rsidRDefault="007D466E" w:rsidP="00A12F35">
            <w:pPr>
              <w:pStyle w:val="tableheading"/>
              <w:keepNext w:val="0"/>
              <w:ind w:right="170"/>
              <w:jc w:val="right"/>
            </w:pPr>
            <w:r>
              <w:t>3</w:t>
            </w:r>
          </w:p>
        </w:tc>
        <w:tc>
          <w:tcPr>
            <w:tcW w:w="6663" w:type="dxa"/>
          </w:tcPr>
          <w:p w14:paraId="5768F7FE" w14:textId="0A68B881" w:rsidR="007D466E" w:rsidRDefault="007D466E" w:rsidP="00A12F35">
            <w:pPr>
              <w:pStyle w:val="table"/>
            </w:pPr>
            <w:r w:rsidRPr="00DF5D10">
              <w:t>FALSE: It is the affected state’s role to coordinate the humanitarian response of assisting organisations. Humanitarian agencies have an essential role to play by supporting the state’s coordination function. However, in some contexts, alternative coordination mechanisms may be appropriate if, for example, state authorities are themselves responsible for abuse and violations or their assistance is not impartial or if the state is willing to play a coordination role, but lacks capacity. In these situations, coordination meetings may be separately or jointly led by the local authorities with the United Nations or NGOs. Many large-scale humanitarian emergencies are now typically coordinated through the ‘cluster approach’, with groupings of agencies working in the same sector under a lead agency.</w:t>
            </w:r>
          </w:p>
        </w:tc>
        <w:tc>
          <w:tcPr>
            <w:tcW w:w="2268" w:type="dxa"/>
          </w:tcPr>
          <w:p w14:paraId="52968A1B" w14:textId="3CBBC07A" w:rsidR="007D466E" w:rsidRDefault="007D466E" w:rsidP="00A12F35">
            <w:pPr>
              <w:pStyle w:val="table"/>
            </w:pPr>
            <w:r w:rsidRPr="00A71A99">
              <w:t>e-learning, Building Better Response</w:t>
            </w:r>
          </w:p>
        </w:tc>
      </w:tr>
      <w:tr w:rsidR="007D466E" w14:paraId="484F76AF" w14:textId="743CFD9B" w:rsidTr="00B105CF">
        <w:trPr>
          <w:cantSplit/>
        </w:trPr>
        <w:tc>
          <w:tcPr>
            <w:tcW w:w="675" w:type="dxa"/>
            <w:shd w:val="clear" w:color="auto" w:fill="FAFFEE"/>
          </w:tcPr>
          <w:p w14:paraId="5A4E72A9" w14:textId="77777777" w:rsidR="007D466E" w:rsidRDefault="007D466E" w:rsidP="00A12F35">
            <w:pPr>
              <w:pStyle w:val="tableheading"/>
              <w:keepNext w:val="0"/>
              <w:ind w:right="170"/>
              <w:jc w:val="right"/>
            </w:pPr>
            <w:r>
              <w:t>4</w:t>
            </w:r>
          </w:p>
        </w:tc>
        <w:tc>
          <w:tcPr>
            <w:tcW w:w="6663" w:type="dxa"/>
            <w:shd w:val="clear" w:color="auto" w:fill="FAFFEE"/>
          </w:tcPr>
          <w:p w14:paraId="0E919FB4" w14:textId="6E7ADED7" w:rsidR="007D466E" w:rsidRDefault="007D466E" w:rsidP="00A12F35">
            <w:pPr>
              <w:pStyle w:val="table"/>
            </w:pPr>
            <w:r w:rsidRPr="00DF5D10">
              <w:t>FALSE: Agency should be able to use other programme information from other humanitarian agencies to inform, analyse and select geographical areas and response plans.</w:t>
            </w:r>
          </w:p>
        </w:tc>
        <w:tc>
          <w:tcPr>
            <w:tcW w:w="2268" w:type="dxa"/>
            <w:shd w:val="clear" w:color="auto" w:fill="FAFFEE"/>
          </w:tcPr>
          <w:p w14:paraId="62DA0E4E" w14:textId="766A3ADE" w:rsidR="007D466E" w:rsidRDefault="00D21C1D" w:rsidP="0086490D">
            <w:pPr>
              <w:pStyle w:val="table"/>
            </w:pPr>
            <w:r>
              <w:t>Commitment 6 of the CHS</w:t>
            </w:r>
            <w:r w:rsidR="00C1479A">
              <w:t xml:space="preserve">, </w:t>
            </w:r>
            <w:r w:rsidR="0086490D">
              <w:t>key action 6.2 o</w:t>
            </w:r>
            <w:r w:rsidR="00223DD1">
              <w:t>f the CHS Guidance Notes and Indicators</w:t>
            </w:r>
            <w:r w:rsidR="0086490D">
              <w:t xml:space="preserve"> p 24</w:t>
            </w:r>
          </w:p>
        </w:tc>
      </w:tr>
      <w:tr w:rsidR="007D466E" w14:paraId="0EB3C7B0" w14:textId="6263AEDC" w:rsidTr="00B105CF">
        <w:trPr>
          <w:cantSplit/>
        </w:trPr>
        <w:tc>
          <w:tcPr>
            <w:tcW w:w="675" w:type="dxa"/>
          </w:tcPr>
          <w:p w14:paraId="2B88FB75" w14:textId="77777777" w:rsidR="007D466E" w:rsidRDefault="007D466E" w:rsidP="00A12F35">
            <w:pPr>
              <w:pStyle w:val="tableheading"/>
              <w:keepNext w:val="0"/>
              <w:ind w:right="170"/>
              <w:jc w:val="right"/>
            </w:pPr>
            <w:r>
              <w:t>5</w:t>
            </w:r>
          </w:p>
        </w:tc>
        <w:tc>
          <w:tcPr>
            <w:tcW w:w="6663" w:type="dxa"/>
          </w:tcPr>
          <w:p w14:paraId="41236FDA" w14:textId="7AC3BDDC" w:rsidR="007D466E" w:rsidRDefault="007D466E" w:rsidP="00A12F35">
            <w:pPr>
              <w:pStyle w:val="table"/>
            </w:pPr>
            <w:r w:rsidRPr="00DF5D10">
              <w:t>FALSE: Staff representing agencies in coordination meetings should have the appropriate information, skills and authority to contribute to planning and decision-making.</w:t>
            </w:r>
          </w:p>
        </w:tc>
        <w:tc>
          <w:tcPr>
            <w:tcW w:w="2268" w:type="dxa"/>
          </w:tcPr>
          <w:p w14:paraId="253816AC" w14:textId="037EEFD8" w:rsidR="007D466E" w:rsidRDefault="00D21C1D" w:rsidP="00A12F35">
            <w:pPr>
              <w:pStyle w:val="table"/>
            </w:pPr>
            <w:r>
              <w:t>Commitment 6 of the CHS</w:t>
            </w:r>
            <w:r w:rsidR="00410971">
              <w:t xml:space="preserve">, key action </w:t>
            </w:r>
            <w:r w:rsidR="00223DD1">
              <w:t xml:space="preserve">key 6.5 </w:t>
            </w:r>
            <w:r w:rsidR="00410971">
              <w:t>of the CHS Guidance Notes and Indicators</w:t>
            </w:r>
            <w:r w:rsidR="0086490D">
              <w:t xml:space="preserve"> p 25</w:t>
            </w:r>
          </w:p>
        </w:tc>
      </w:tr>
      <w:tr w:rsidR="007D466E" w14:paraId="0D6E38A5" w14:textId="73CA9BC6" w:rsidTr="00B105CF">
        <w:trPr>
          <w:cantSplit/>
        </w:trPr>
        <w:tc>
          <w:tcPr>
            <w:tcW w:w="675" w:type="dxa"/>
            <w:shd w:val="clear" w:color="auto" w:fill="FAFFEE"/>
          </w:tcPr>
          <w:p w14:paraId="2200519A" w14:textId="77777777" w:rsidR="007D466E" w:rsidRDefault="007D466E" w:rsidP="00A12F35">
            <w:pPr>
              <w:pStyle w:val="tableheading"/>
              <w:keepNext w:val="0"/>
              <w:ind w:right="170"/>
              <w:jc w:val="right"/>
            </w:pPr>
            <w:r>
              <w:t>6</w:t>
            </w:r>
          </w:p>
        </w:tc>
        <w:tc>
          <w:tcPr>
            <w:tcW w:w="6663" w:type="dxa"/>
            <w:shd w:val="clear" w:color="auto" w:fill="FAFFEE"/>
          </w:tcPr>
          <w:p w14:paraId="0147504C" w14:textId="4257A685" w:rsidR="007D466E" w:rsidRDefault="007D466E" w:rsidP="00A12F35">
            <w:pPr>
              <w:pStyle w:val="table"/>
            </w:pPr>
            <w:r w:rsidRPr="00DF5D10">
              <w:t>FALSE: Agencies should collaborate with others to strengthen advocacy on critically-shared humanitarian concerns.</w:t>
            </w:r>
          </w:p>
        </w:tc>
        <w:tc>
          <w:tcPr>
            <w:tcW w:w="2268" w:type="dxa"/>
            <w:shd w:val="clear" w:color="auto" w:fill="FAFFEE"/>
          </w:tcPr>
          <w:p w14:paraId="3EC6EC39" w14:textId="1DCC5440" w:rsidR="007D466E" w:rsidRDefault="00D21C1D" w:rsidP="00AC5251">
            <w:pPr>
              <w:pStyle w:val="table"/>
            </w:pPr>
            <w:r>
              <w:t xml:space="preserve">Commitment </w:t>
            </w:r>
            <w:r w:rsidR="00AC5251">
              <w:t>2 of the CHS, key action 2.1</w:t>
            </w:r>
            <w:r>
              <w:t xml:space="preserve"> of the CHS</w:t>
            </w:r>
            <w:r w:rsidR="00AC5251">
              <w:t xml:space="preserve"> </w:t>
            </w:r>
            <w:r w:rsidR="00AC5251">
              <w:t>Guidance Notes and Indicators</w:t>
            </w:r>
            <w:r w:rsidR="0061179D">
              <w:t xml:space="preserve"> p 8</w:t>
            </w:r>
          </w:p>
        </w:tc>
      </w:tr>
      <w:tr w:rsidR="007D466E" w14:paraId="6A987B97" w14:textId="706112C2" w:rsidTr="00B105CF">
        <w:trPr>
          <w:cantSplit/>
        </w:trPr>
        <w:tc>
          <w:tcPr>
            <w:tcW w:w="675" w:type="dxa"/>
          </w:tcPr>
          <w:p w14:paraId="587FC03F" w14:textId="77777777" w:rsidR="007D466E" w:rsidRDefault="007D466E" w:rsidP="00A12F35">
            <w:pPr>
              <w:pStyle w:val="tableheading"/>
              <w:keepNext w:val="0"/>
              <w:ind w:right="170"/>
              <w:jc w:val="right"/>
            </w:pPr>
            <w:r>
              <w:lastRenderedPageBreak/>
              <w:t>7</w:t>
            </w:r>
          </w:p>
        </w:tc>
        <w:tc>
          <w:tcPr>
            <w:tcW w:w="6663" w:type="dxa"/>
          </w:tcPr>
          <w:p w14:paraId="37FF1478" w14:textId="379C1110" w:rsidR="007D466E" w:rsidRDefault="007D466E" w:rsidP="00A12F35">
            <w:pPr>
              <w:pStyle w:val="table"/>
            </w:pPr>
            <w:r w:rsidRPr="00DF5D10">
              <w:t>TRUE: Agencies should regularly update coordination groups on progress, reporting any major delays, agency shortages or spare capacity.</w:t>
            </w:r>
          </w:p>
        </w:tc>
        <w:tc>
          <w:tcPr>
            <w:tcW w:w="2268" w:type="dxa"/>
          </w:tcPr>
          <w:p w14:paraId="57198453" w14:textId="551E39CD" w:rsidR="007D466E" w:rsidRDefault="00D21C1D" w:rsidP="00A12F35">
            <w:pPr>
              <w:pStyle w:val="table"/>
            </w:pPr>
            <w:r>
              <w:t>Commitment 6 of the CHS</w:t>
            </w:r>
            <w:r w:rsidR="00D03EE0">
              <w:t xml:space="preserve">, key actions 6.3 and 6.4 of </w:t>
            </w:r>
            <w:r w:rsidR="00D03EE0">
              <w:t>CHS Guidance Notes and Indicators</w:t>
            </w:r>
            <w:r w:rsidR="00D03EE0">
              <w:t xml:space="preserve"> p 24</w:t>
            </w:r>
          </w:p>
        </w:tc>
      </w:tr>
      <w:tr w:rsidR="007D466E" w14:paraId="7654251E" w14:textId="08F65B11" w:rsidTr="00B105CF">
        <w:trPr>
          <w:cantSplit/>
        </w:trPr>
        <w:tc>
          <w:tcPr>
            <w:tcW w:w="675" w:type="dxa"/>
          </w:tcPr>
          <w:p w14:paraId="76CA4484" w14:textId="77777777" w:rsidR="007D466E" w:rsidRDefault="007D466E" w:rsidP="00A12F35">
            <w:pPr>
              <w:pStyle w:val="tableheading"/>
              <w:keepNext w:val="0"/>
              <w:ind w:right="170"/>
              <w:jc w:val="right"/>
            </w:pPr>
            <w:r>
              <w:t>8</w:t>
            </w:r>
          </w:p>
        </w:tc>
        <w:tc>
          <w:tcPr>
            <w:tcW w:w="6663" w:type="dxa"/>
          </w:tcPr>
          <w:p w14:paraId="48B37509" w14:textId="794756FE" w:rsidR="007D466E" w:rsidRDefault="007D466E" w:rsidP="00A12F35">
            <w:pPr>
              <w:pStyle w:val="table"/>
            </w:pPr>
            <w:r w:rsidRPr="00DF5D10">
              <w:t>FALSE: Because it is not owned by any one organisation, the Handbook enjoys broad acceptance by the humanitarian sector as a whole. It has become one of the most widely known and internationally recognised sets of standards for humanitarian response and is used as an inter-agency communication and coordination tool. The principal users of the Sphere Handbook are practitioners involved in planning, managing or implementing a humanitarian response. This includes staff and volunteers of local, national and international humanitarian agencies. In the context of fund-raising and project proposals, the minimum standards are also frequently referred to. Other actors, such as government and local authorities, the military or the private sector, are also encouraged to use the Sphere Handbook. It may be useful in guiding their own actions, but also in helping them to understand the standards used by the humanitarian agencies with whom they may interact.</w:t>
            </w:r>
          </w:p>
        </w:tc>
        <w:tc>
          <w:tcPr>
            <w:tcW w:w="2268" w:type="dxa"/>
          </w:tcPr>
          <w:p w14:paraId="6E1058C4" w14:textId="5897A259" w:rsidR="007D466E" w:rsidRDefault="007D466E" w:rsidP="00A12F35">
            <w:pPr>
              <w:pStyle w:val="table"/>
            </w:pPr>
            <w:r w:rsidRPr="00A71A99">
              <w:t>Sphere, page 5</w:t>
            </w:r>
          </w:p>
        </w:tc>
      </w:tr>
      <w:tr w:rsidR="007D466E" w14:paraId="19097A5C" w14:textId="042A3CE3" w:rsidTr="00B105CF">
        <w:trPr>
          <w:cantSplit/>
        </w:trPr>
        <w:tc>
          <w:tcPr>
            <w:tcW w:w="675" w:type="dxa"/>
            <w:shd w:val="clear" w:color="auto" w:fill="FAFFEE"/>
          </w:tcPr>
          <w:p w14:paraId="1520D761" w14:textId="77777777" w:rsidR="007D466E" w:rsidRDefault="007D466E" w:rsidP="00A12F35">
            <w:pPr>
              <w:pStyle w:val="tableheading"/>
              <w:keepNext w:val="0"/>
              <w:ind w:right="170"/>
              <w:jc w:val="right"/>
            </w:pPr>
            <w:r>
              <w:t>9</w:t>
            </w:r>
          </w:p>
        </w:tc>
        <w:tc>
          <w:tcPr>
            <w:tcW w:w="6663" w:type="dxa"/>
            <w:shd w:val="clear" w:color="auto" w:fill="FAFFEE"/>
          </w:tcPr>
          <w:p w14:paraId="27F351DF" w14:textId="40E159B7" w:rsidR="007D466E" w:rsidRDefault="007D466E" w:rsidP="00A12F35">
            <w:pPr>
              <w:pStyle w:val="table"/>
            </w:pPr>
            <w:r w:rsidRPr="00DF5D10">
              <w:t>FALSE: The Sphere Project has come a long way over the past 15 years, establishing itself as a force for convergence and collaboration within the humanitarian community. Starting out as a project of international NGOs and the Red Cross/Red Crescent Movement, it initially focused on training and institutionalising Sphere principles and standards within NGO families and networks. Over time, it earned recognition within the broader humanitarian sector. Today, the UN largely embraces the Sphere minimum standards, and governments – both donors and disaster-affected countries – increasingly turn to Sphere when looking for benchmarks of quality and professionalism in humanitarian aid. Several countries, including India and Guatemala, base their national disaster management guidelines at least in part on the Sphere indicators. This is due largely to the successful advocacy work by Sphere focal points.</w:t>
            </w:r>
          </w:p>
        </w:tc>
        <w:tc>
          <w:tcPr>
            <w:tcW w:w="2268" w:type="dxa"/>
            <w:shd w:val="clear" w:color="auto" w:fill="FAFFEE"/>
          </w:tcPr>
          <w:p w14:paraId="636E704F" w14:textId="62203A81" w:rsidR="007D466E" w:rsidRDefault="00D03EE0" w:rsidP="00A12F35">
            <w:pPr>
              <w:pStyle w:val="table"/>
            </w:pPr>
            <w:hyperlink r:id="rId7" w:history="1">
              <w:r w:rsidR="007D466E" w:rsidRPr="007D466E">
                <w:rPr>
                  <w:rStyle w:val="Hyperlink"/>
                </w:rPr>
                <w:t>www.odihpn.org/humanitarian-exchange-magazine/issue-53/the-sphere-project-taking-stock</w:t>
              </w:r>
            </w:hyperlink>
          </w:p>
        </w:tc>
      </w:tr>
      <w:tr w:rsidR="007D466E" w14:paraId="1B685249" w14:textId="1ED7681C" w:rsidTr="00B105CF">
        <w:trPr>
          <w:cantSplit/>
        </w:trPr>
        <w:tc>
          <w:tcPr>
            <w:tcW w:w="675" w:type="dxa"/>
          </w:tcPr>
          <w:p w14:paraId="1BA7ED52" w14:textId="77777777" w:rsidR="007D466E" w:rsidRDefault="007D466E" w:rsidP="00A12F35">
            <w:pPr>
              <w:pStyle w:val="tableheading"/>
              <w:keepNext w:val="0"/>
              <w:ind w:right="170"/>
              <w:jc w:val="right"/>
            </w:pPr>
            <w:r>
              <w:t>10</w:t>
            </w:r>
          </w:p>
        </w:tc>
        <w:tc>
          <w:tcPr>
            <w:tcW w:w="6663" w:type="dxa"/>
          </w:tcPr>
          <w:p w14:paraId="14482AB9" w14:textId="203B9CAC" w:rsidR="007D466E" w:rsidRDefault="007D466E" w:rsidP="00A12F35">
            <w:pPr>
              <w:pStyle w:val="table"/>
            </w:pPr>
            <w:r w:rsidRPr="00DF5D10">
              <w:t>TRUE: Meetings which bring together different sectors can further enable people’s needs to be addressed as a whole, rather than in isolation (e.g. people’s shelter, water, sanitation, hygiene and psychosocial needs are interrelated). Relevant information should be shared between different coordination mechanisms to ensure integrated coordination across all programmes.</w:t>
            </w:r>
          </w:p>
        </w:tc>
        <w:tc>
          <w:tcPr>
            <w:tcW w:w="2268" w:type="dxa"/>
          </w:tcPr>
          <w:p w14:paraId="48C1B2BE" w14:textId="45F811BB" w:rsidR="007D466E" w:rsidRDefault="00D21C1D" w:rsidP="00A12F35">
            <w:pPr>
              <w:pStyle w:val="table"/>
            </w:pPr>
            <w:r>
              <w:t>Commitment 6 of the CHS</w:t>
            </w:r>
            <w:r w:rsidR="00D03EE0">
              <w:t xml:space="preserve">, </w:t>
            </w:r>
            <w:r w:rsidR="00D03EE0">
              <w:t>key actions 6.3 and 6.4 of CHS Guidance Notes and Indicators p 24</w:t>
            </w:r>
          </w:p>
        </w:tc>
      </w:tr>
      <w:tr w:rsidR="007D466E" w14:paraId="76DF33FE" w14:textId="49F3022F" w:rsidTr="00B105CF">
        <w:trPr>
          <w:cantSplit/>
        </w:trPr>
        <w:tc>
          <w:tcPr>
            <w:tcW w:w="675" w:type="dxa"/>
          </w:tcPr>
          <w:p w14:paraId="0C2983F4" w14:textId="77777777" w:rsidR="007D466E" w:rsidRDefault="007D466E" w:rsidP="00A12F35">
            <w:pPr>
              <w:pStyle w:val="tableheading"/>
              <w:keepNext w:val="0"/>
              <w:ind w:right="170"/>
              <w:jc w:val="right"/>
            </w:pPr>
            <w:r>
              <w:lastRenderedPageBreak/>
              <w:t>11</w:t>
            </w:r>
          </w:p>
        </w:tc>
        <w:tc>
          <w:tcPr>
            <w:tcW w:w="6663" w:type="dxa"/>
          </w:tcPr>
          <w:p w14:paraId="2FB7DB6B" w14:textId="29F62822" w:rsidR="007D466E" w:rsidRDefault="007D466E" w:rsidP="00A12F35">
            <w:pPr>
              <w:pStyle w:val="table"/>
            </w:pPr>
            <w:r w:rsidRPr="00DF5D10">
              <w:t>FALSE: The 2005 Humanitarian Reform established the cluster approach, which is the main way humanitarian actors coordinate. Clusters are groups of humanitarian organizations (UN and non-UN) working in the main sectors of humanitarian action, e.g., shelter and health, who coordinate in order to avoid gaps and duplication in assistance to affected communities. They are created: when clear humanitarian needs exist within sectors, when there are numerous actors within sectors, when national authorities need coordination support. Clusters provide a clear point of contact and are accountable for adequate and appropriate humanitarian response. Clusters promote partnership between international humanitarian actors, national and local authorities and civil society.</w:t>
            </w:r>
          </w:p>
        </w:tc>
        <w:tc>
          <w:tcPr>
            <w:tcW w:w="2268" w:type="dxa"/>
          </w:tcPr>
          <w:p w14:paraId="0AA792C7" w14:textId="7A805B9F" w:rsidR="007D466E" w:rsidRDefault="007D466E" w:rsidP="00A12F35">
            <w:pPr>
              <w:pStyle w:val="table"/>
            </w:pPr>
            <w:proofErr w:type="gramStart"/>
            <w:r w:rsidRPr="00A71A99">
              <w:t>e-learning</w:t>
            </w:r>
            <w:proofErr w:type="gramEnd"/>
            <w:r w:rsidRPr="00A71A99">
              <w:t xml:space="preserve">: </w:t>
            </w:r>
            <w:hyperlink r:id="rId8" w:history="1">
              <w:r w:rsidRPr="007D466E">
                <w:rPr>
                  <w:rStyle w:val="Hyperlink"/>
                </w:rPr>
                <w:t>www.buildingabetterResponse.org</w:t>
              </w:r>
            </w:hyperlink>
            <w:r w:rsidRPr="00A71A99">
              <w:t>, which includes key modules on the humanitarian architecture and its implication for implementing actors.</w:t>
            </w:r>
          </w:p>
        </w:tc>
      </w:tr>
      <w:tr w:rsidR="007D466E" w14:paraId="34013394" w14:textId="59B69DA1" w:rsidTr="00B105CF">
        <w:trPr>
          <w:cantSplit/>
        </w:trPr>
        <w:tc>
          <w:tcPr>
            <w:tcW w:w="675" w:type="dxa"/>
            <w:shd w:val="clear" w:color="auto" w:fill="FAFFEE"/>
          </w:tcPr>
          <w:p w14:paraId="6BDAA1AA" w14:textId="77777777" w:rsidR="007D466E" w:rsidRDefault="007D466E" w:rsidP="00A12F35">
            <w:pPr>
              <w:pStyle w:val="tableheading"/>
              <w:keepNext w:val="0"/>
              <w:ind w:right="170"/>
              <w:jc w:val="right"/>
            </w:pPr>
            <w:r>
              <w:t>12</w:t>
            </w:r>
          </w:p>
        </w:tc>
        <w:tc>
          <w:tcPr>
            <w:tcW w:w="6663" w:type="dxa"/>
            <w:shd w:val="clear" w:color="auto" w:fill="FAFFEE"/>
          </w:tcPr>
          <w:p w14:paraId="3D78E37B" w14:textId="636E7C49" w:rsidR="007D466E" w:rsidRDefault="007D466E" w:rsidP="00A12F35">
            <w:pPr>
              <w:pStyle w:val="table"/>
            </w:pPr>
            <w:r w:rsidRPr="00DF5D10">
              <w:t>FALSE: The military brings particular expertise and resources, including security, logistics, transport and communication. However, their activities can blur the important distinction between humanitarian objectives and military or political agendas and create future security risks. Any association with the military should be in the service of, and led by, humanitarian agencies according to endorsed guidelines. Some agencies will maintain a minimum dialogue to ensure operational efficiency (e.g. basic programme information sharing) while others may establish stronger links (e.g. use of military assets). In all cases, humanitarian agencies must remain clearly distinct from the military to avoid any real or perceived association with a political or military agenda that could compromise the agencies’ independence, credibility, security and access to affected populations.</w:t>
            </w:r>
          </w:p>
        </w:tc>
        <w:tc>
          <w:tcPr>
            <w:tcW w:w="2268" w:type="dxa"/>
            <w:shd w:val="clear" w:color="auto" w:fill="FAFFEE"/>
          </w:tcPr>
          <w:p w14:paraId="4DCA1250" w14:textId="70689F80" w:rsidR="007D466E" w:rsidRDefault="00D21C1D" w:rsidP="00A12F35">
            <w:pPr>
              <w:pStyle w:val="table"/>
            </w:pPr>
            <w:r>
              <w:t>Commitment 6 of the CHS</w:t>
            </w:r>
            <w:r w:rsidR="00D03EE0">
              <w:t xml:space="preserve">, key action 6.1 of </w:t>
            </w:r>
            <w:r w:rsidR="00D03EE0">
              <w:t>CHS Guidance Notes and Indicators</w:t>
            </w:r>
            <w:r w:rsidR="00D03EE0">
              <w:t xml:space="preserve"> p23</w:t>
            </w:r>
          </w:p>
        </w:tc>
      </w:tr>
      <w:tr w:rsidR="007D466E" w14:paraId="605DA5DD" w14:textId="5C2D6552" w:rsidTr="00B105CF">
        <w:trPr>
          <w:cantSplit/>
        </w:trPr>
        <w:tc>
          <w:tcPr>
            <w:tcW w:w="675" w:type="dxa"/>
          </w:tcPr>
          <w:p w14:paraId="2D247BE0" w14:textId="77777777" w:rsidR="007D466E" w:rsidRDefault="007D466E" w:rsidP="00A12F35">
            <w:pPr>
              <w:pStyle w:val="tableheading"/>
              <w:keepNext w:val="0"/>
              <w:ind w:right="170"/>
              <w:jc w:val="right"/>
            </w:pPr>
            <w:r>
              <w:t>13</w:t>
            </w:r>
          </w:p>
        </w:tc>
        <w:tc>
          <w:tcPr>
            <w:tcW w:w="6663" w:type="dxa"/>
          </w:tcPr>
          <w:p w14:paraId="6BB1024F" w14:textId="20A2F7DB" w:rsidR="007D466E" w:rsidRDefault="007D466E" w:rsidP="00A12F35">
            <w:pPr>
              <w:pStyle w:val="table"/>
            </w:pPr>
            <w:r w:rsidRPr="00DF5D10">
              <w:t>TRUE: The private sector can bring commercial efficiencies, complementary expertise and resources to humanitarian agencies. Information-sharing is required to avoid duplication and to promote humanitarian good practice. Partnerships between the private and humanitarian sector must strictly be for the benefit of humanitarian objectives.</w:t>
            </w:r>
          </w:p>
        </w:tc>
        <w:tc>
          <w:tcPr>
            <w:tcW w:w="2268" w:type="dxa"/>
          </w:tcPr>
          <w:p w14:paraId="5494E7F5" w14:textId="65089047" w:rsidR="007D466E" w:rsidRDefault="00D21C1D" w:rsidP="00A12F35">
            <w:pPr>
              <w:pStyle w:val="table"/>
            </w:pPr>
            <w:r>
              <w:t>Commitment 6 of the CHS</w:t>
            </w:r>
            <w:r w:rsidR="00D03EE0">
              <w:t xml:space="preserve">, </w:t>
            </w:r>
            <w:r w:rsidR="00D03EE0">
              <w:t>key action 6.1 of CHS Guidance Notes and Indicators p23</w:t>
            </w:r>
          </w:p>
        </w:tc>
      </w:tr>
    </w:tbl>
    <w:p w14:paraId="358161B2" w14:textId="77777777" w:rsidR="007D1ADB" w:rsidRPr="007D1ADB" w:rsidRDefault="007D1ADB" w:rsidP="00D966B6"/>
    <w:sectPr w:rsidR="007D1ADB" w:rsidRPr="007D1ADB" w:rsidSect="00F51600">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6372D0" w:rsidRDefault="006372D0" w:rsidP="002848CC">
      <w:pPr>
        <w:spacing w:before="0"/>
      </w:pPr>
      <w:r>
        <w:separator/>
      </w:r>
    </w:p>
  </w:endnote>
  <w:endnote w:type="continuationSeparator" w:id="0">
    <w:p w14:paraId="55D920D5" w14:textId="77777777" w:rsidR="006372D0" w:rsidRDefault="006372D0"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6372D0" w:rsidRPr="004F1D9A" w:rsidRDefault="006372D0"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52807C4B" w:rsidR="006372D0" w:rsidRPr="00F51600" w:rsidRDefault="006372D0" w:rsidP="00F51600">
    <w:pPr>
      <w:pStyle w:val="Footer"/>
    </w:pPr>
    <w:r w:rsidRPr="00BB4611">
      <w:t>Module B5 – Sphere and coordination</w:t>
    </w:r>
    <w:r>
      <w:tab/>
    </w:r>
    <w:r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1414A7F2" w:rsidR="006372D0" w:rsidRPr="00F51600" w:rsidRDefault="006372D0" w:rsidP="00891199">
    <w:pPr>
      <w:pStyle w:val="Footer"/>
    </w:pPr>
    <w:r w:rsidRPr="00BB4611">
      <w:t>Module B5 – Sphere and coordination</w:t>
    </w:r>
    <w:r>
      <w:tab/>
    </w:r>
    <w:r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77777777" w:rsidR="006372D0" w:rsidRDefault="006372D0" w:rsidP="002848CC">
      <w:pPr>
        <w:spacing w:before="0"/>
      </w:pPr>
      <w:r>
        <w:separator/>
      </w:r>
    </w:p>
  </w:footnote>
  <w:footnote w:type="continuationSeparator" w:id="0">
    <w:p w14:paraId="3A0C8118" w14:textId="77777777" w:rsidR="006372D0" w:rsidRDefault="006372D0"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6372D0" w:rsidRPr="004F1D9A" w:rsidRDefault="006372D0" w:rsidP="00891199">
    <w:pPr>
      <w:pStyle w:val="Header"/>
    </w:pPr>
    <w:r w:rsidRPr="007A7ACB">
      <w:t>Handouts</w:t>
    </w:r>
    <w:r>
      <w:tab/>
    </w:r>
    <w:r w:rsidRPr="003E013F">
      <w:rPr>
        <w:rStyle w:val="logobaselineshift"/>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C5A06D1" w:rsidR="006372D0" w:rsidRPr="00175CA3" w:rsidRDefault="006372D0" w:rsidP="00891199">
    <w:pPr>
      <w:pStyle w:val="Header"/>
    </w:pPr>
    <w:r w:rsidRPr="00175CA3">
      <w:t>Handouts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66ED9255" w:rsidR="006372D0" w:rsidRPr="003E013F" w:rsidRDefault="006372D0" w:rsidP="00F51600">
    <w:pPr>
      <w:pStyle w:val="Heading1"/>
    </w:pPr>
    <w:r w:rsidRPr="00BB4611">
      <w:t>Module B5 – Sphere and coordination</w:t>
    </w:r>
    <w:r w:rsidRPr="00C820AA">
      <w:t xml:space="preserve"> </w:t>
    </w:r>
    <w:r>
      <w:tab/>
    </w:r>
    <w:r w:rsidRPr="001C6C1A">
      <w:rPr>
        <w:color w:val="579305" w:themeColor="accent1"/>
        <w:szCs w:val="28"/>
      </w:rPr>
      <w:t>Handouts</w:t>
    </w:r>
  </w:p>
  <w:p w14:paraId="3E1679D9" w14:textId="74E90290" w:rsidR="006372D0" w:rsidRPr="00792B8B" w:rsidRDefault="006372D0" w:rsidP="00F51600">
    <w:pPr>
      <w:pStyle w:val="Heading2"/>
      <w:pBdr>
        <w:bottom w:val="single" w:sz="4" w:space="4" w:color="004386" w:themeColor="text2"/>
      </w:pBdr>
      <w:spacing w:after="0"/>
    </w:pPr>
    <w:r w:rsidRPr="00BB4611">
      <w:t>How can you use Sphere to facilitate effective coordination?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11"/>
  </w:num>
  <w:num w:numId="9">
    <w:abstractNumId w:val="6"/>
  </w:num>
  <w:num w:numId="10">
    <w:abstractNumId w:val="9"/>
  </w:num>
  <w:num w:numId="11">
    <w:abstractNumId w:val="3"/>
  </w:num>
  <w:num w:numId="12">
    <w:abstractNumId w:val="8"/>
  </w:num>
  <w:num w:numId="13">
    <w:abstractNumId w:val="7"/>
  </w:num>
  <w:num w:numId="14">
    <w:abstractNumId w:val="4"/>
  </w:num>
  <w:num w:numId="15">
    <w:abstractNumId w:val="5"/>
  </w:num>
  <w:num w:numId="16">
    <w:abstractNumId w:val="4"/>
  </w:num>
  <w:num w:numId="17">
    <w:abstractNumId w:val="5"/>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13229F"/>
    <w:rsid w:val="00144112"/>
    <w:rsid w:val="0015588F"/>
    <w:rsid w:val="001713BA"/>
    <w:rsid w:val="00171851"/>
    <w:rsid w:val="001740C0"/>
    <w:rsid w:val="00175CA3"/>
    <w:rsid w:val="00184F56"/>
    <w:rsid w:val="001869EC"/>
    <w:rsid w:val="001C6C1A"/>
    <w:rsid w:val="001C7F2F"/>
    <w:rsid w:val="001D0724"/>
    <w:rsid w:val="001D7A65"/>
    <w:rsid w:val="001F7F75"/>
    <w:rsid w:val="00200D4D"/>
    <w:rsid w:val="00205074"/>
    <w:rsid w:val="002201FF"/>
    <w:rsid w:val="00223DD1"/>
    <w:rsid w:val="0022798A"/>
    <w:rsid w:val="00237D09"/>
    <w:rsid w:val="00241992"/>
    <w:rsid w:val="002848CC"/>
    <w:rsid w:val="002933E5"/>
    <w:rsid w:val="002958E2"/>
    <w:rsid w:val="002D3B86"/>
    <w:rsid w:val="002F2B87"/>
    <w:rsid w:val="0030064E"/>
    <w:rsid w:val="00302FA7"/>
    <w:rsid w:val="00314ADC"/>
    <w:rsid w:val="00315E11"/>
    <w:rsid w:val="00370153"/>
    <w:rsid w:val="003A4483"/>
    <w:rsid w:val="003C469E"/>
    <w:rsid w:val="003C5331"/>
    <w:rsid w:val="003D60D7"/>
    <w:rsid w:val="003E013F"/>
    <w:rsid w:val="003E2279"/>
    <w:rsid w:val="003E2DB9"/>
    <w:rsid w:val="003F0EB3"/>
    <w:rsid w:val="00405A54"/>
    <w:rsid w:val="00410971"/>
    <w:rsid w:val="004231C3"/>
    <w:rsid w:val="0043797B"/>
    <w:rsid w:val="0045590B"/>
    <w:rsid w:val="00463DB5"/>
    <w:rsid w:val="004D7062"/>
    <w:rsid w:val="004F1D9A"/>
    <w:rsid w:val="0050225B"/>
    <w:rsid w:val="005751FD"/>
    <w:rsid w:val="005F6AEE"/>
    <w:rsid w:val="00601FF7"/>
    <w:rsid w:val="0061179D"/>
    <w:rsid w:val="00620E7C"/>
    <w:rsid w:val="0063519D"/>
    <w:rsid w:val="00637110"/>
    <w:rsid w:val="006372D0"/>
    <w:rsid w:val="00652FB1"/>
    <w:rsid w:val="00690F64"/>
    <w:rsid w:val="006C099B"/>
    <w:rsid w:val="006D149B"/>
    <w:rsid w:val="006E74C4"/>
    <w:rsid w:val="006F26B6"/>
    <w:rsid w:val="006F280A"/>
    <w:rsid w:val="007030AE"/>
    <w:rsid w:val="00714CE1"/>
    <w:rsid w:val="00715CA8"/>
    <w:rsid w:val="00731755"/>
    <w:rsid w:val="00761400"/>
    <w:rsid w:val="00775878"/>
    <w:rsid w:val="00781146"/>
    <w:rsid w:val="00792B8B"/>
    <w:rsid w:val="007A255B"/>
    <w:rsid w:val="007A4412"/>
    <w:rsid w:val="007A7ACB"/>
    <w:rsid w:val="007B3E00"/>
    <w:rsid w:val="007D1ADB"/>
    <w:rsid w:val="007D466E"/>
    <w:rsid w:val="007E479A"/>
    <w:rsid w:val="00810AFF"/>
    <w:rsid w:val="00811B63"/>
    <w:rsid w:val="00816A31"/>
    <w:rsid w:val="00825D04"/>
    <w:rsid w:val="008260A5"/>
    <w:rsid w:val="008647F3"/>
    <w:rsid w:val="0086490D"/>
    <w:rsid w:val="008652CA"/>
    <w:rsid w:val="0087787A"/>
    <w:rsid w:val="00891199"/>
    <w:rsid w:val="008B4444"/>
    <w:rsid w:val="008B7D3C"/>
    <w:rsid w:val="008F7DE8"/>
    <w:rsid w:val="0090172B"/>
    <w:rsid w:val="0090692F"/>
    <w:rsid w:val="00925784"/>
    <w:rsid w:val="00937519"/>
    <w:rsid w:val="009516C3"/>
    <w:rsid w:val="00954E91"/>
    <w:rsid w:val="00971AD2"/>
    <w:rsid w:val="00981544"/>
    <w:rsid w:val="0098193F"/>
    <w:rsid w:val="00995549"/>
    <w:rsid w:val="0099663D"/>
    <w:rsid w:val="009C11D7"/>
    <w:rsid w:val="009C6C4F"/>
    <w:rsid w:val="009D0066"/>
    <w:rsid w:val="009D6A86"/>
    <w:rsid w:val="009D7027"/>
    <w:rsid w:val="009E270C"/>
    <w:rsid w:val="00A12F35"/>
    <w:rsid w:val="00A46634"/>
    <w:rsid w:val="00A80DF5"/>
    <w:rsid w:val="00A93E89"/>
    <w:rsid w:val="00A95124"/>
    <w:rsid w:val="00AB088B"/>
    <w:rsid w:val="00AC5251"/>
    <w:rsid w:val="00AD30D2"/>
    <w:rsid w:val="00AF36C0"/>
    <w:rsid w:val="00B105CF"/>
    <w:rsid w:val="00B40995"/>
    <w:rsid w:val="00B572C2"/>
    <w:rsid w:val="00B70E34"/>
    <w:rsid w:val="00B91AAC"/>
    <w:rsid w:val="00BB4611"/>
    <w:rsid w:val="00BD047C"/>
    <w:rsid w:val="00BE3D5B"/>
    <w:rsid w:val="00C0309C"/>
    <w:rsid w:val="00C1479A"/>
    <w:rsid w:val="00C32D00"/>
    <w:rsid w:val="00C35B0F"/>
    <w:rsid w:val="00C507F3"/>
    <w:rsid w:val="00C915A4"/>
    <w:rsid w:val="00D03EE0"/>
    <w:rsid w:val="00D064C5"/>
    <w:rsid w:val="00D21C1D"/>
    <w:rsid w:val="00D221A6"/>
    <w:rsid w:val="00D54219"/>
    <w:rsid w:val="00D90736"/>
    <w:rsid w:val="00D966B6"/>
    <w:rsid w:val="00DD0F73"/>
    <w:rsid w:val="00DE202F"/>
    <w:rsid w:val="00DE210D"/>
    <w:rsid w:val="00DE21D3"/>
    <w:rsid w:val="00DF2534"/>
    <w:rsid w:val="00E15219"/>
    <w:rsid w:val="00E2620E"/>
    <w:rsid w:val="00E26D30"/>
    <w:rsid w:val="00E71C66"/>
    <w:rsid w:val="00E8474E"/>
    <w:rsid w:val="00EA1F0B"/>
    <w:rsid w:val="00EB14C9"/>
    <w:rsid w:val="00EE535D"/>
    <w:rsid w:val="00F25952"/>
    <w:rsid w:val="00F51600"/>
    <w:rsid w:val="00F52152"/>
    <w:rsid w:val="00F66ABC"/>
    <w:rsid w:val="00F67F82"/>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03F88"/>
  <w15:docId w15:val="{B9BB6A5E-6141-48BB-905C-D1E5E8D44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171851"/>
    <w:pPr>
      <w:spacing w:before="120" w:line="280" w:lineRule="atLeast"/>
    </w:pPr>
    <w:rPr>
      <w:bCs/>
      <w:sz w:val="24"/>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811B63"/>
    <w:pPr>
      <w:pageBreakBefore/>
      <w:spacing w:before="0" w:after="0"/>
      <w:outlineLvl w:val="2"/>
    </w:pPr>
    <w:rPr>
      <w:b/>
      <w:i w:val="0"/>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171851"/>
    <w:pPr>
      <w:spacing w:before="24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811B63"/>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171851"/>
    <w:rPr>
      <w:b/>
      <w:bCs/>
      <w:iCs/>
      <w:color w:val="004386" w:themeColor="text2"/>
      <w:sz w:val="24"/>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7D1ADB"/>
    <w:pPr>
      <w:spacing w:before="80" w:after="8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customStyle="1" w:styleId="logobaselineshift">
    <w:name w:val="logo baseline shift"/>
    <w:uiPriority w:val="1"/>
    <w:rsid w:val="00205074"/>
    <w:rPr>
      <w:noProof/>
      <w:position w:val="-20"/>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spacing w:before="80"/>
      <w:ind w:left="568"/>
    </w:pPr>
  </w:style>
  <w:style w:type="paragraph" w:customStyle="1" w:styleId="Largebodytable">
    <w:name w:val="Large body/table"/>
    <w:basedOn w:val="Normal"/>
    <w:qFormat/>
    <w:rsid w:val="009D7027"/>
    <w:pPr>
      <w:spacing w:before="240" w:after="240" w:line="288" w:lineRule="auto"/>
      <w:ind w:left="113" w:right="113"/>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ildingabetterResponse.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odihpn.org/humanitarian-exchange-magazine/issue-53/the-sphere-project-taking-stock"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1353</Words>
  <Characters>7713</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9048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9</cp:revision>
  <cp:lastPrinted>2015-01-05T09:17:00Z</cp:lastPrinted>
  <dcterms:created xsi:type="dcterms:W3CDTF">2016-06-10T12:07:00Z</dcterms:created>
  <dcterms:modified xsi:type="dcterms:W3CDTF">2016-06-10T12:40:00Z</dcterms:modified>
</cp:coreProperties>
</file>